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4F2474">
        <w:rPr>
          <w:rFonts w:ascii="Arial" w:hAnsi="Arial"/>
        </w:rPr>
        <w:t>5</w:t>
      </w:r>
      <w:r w:rsidR="00AA4764">
        <w:rPr>
          <w:rFonts w:ascii="Arial" w:hAnsi="Arial"/>
        </w:rPr>
        <w:tab/>
      </w:r>
      <w:r w:rsidR="00AA4764">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p>
    <w:p w:rsidR="00F30D21" w:rsidRPr="00A55BC8" w:rsidRDefault="00F30D21" w:rsidP="00F30D21">
      <w:pPr>
        <w:jc w:val="center"/>
        <w:rPr>
          <w:rFonts w:ascii="Arial" w:hAnsi="Arial"/>
        </w:rPr>
      </w:pPr>
    </w:p>
    <w:p w:rsidR="00F30D21" w:rsidRPr="00A55BC8" w:rsidRDefault="000903CE" w:rsidP="00F30D21">
      <w:pPr>
        <w:jc w:val="center"/>
        <w:rPr>
          <w:rFonts w:ascii="Arial" w:hAnsi="Arial"/>
        </w:rPr>
      </w:pPr>
      <w:r>
        <w:rPr>
          <w:rFonts w:ascii="Arial" w:hAnsi="Arial"/>
        </w:rPr>
        <w:t xml:space="preserve">The Olympics </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0D782A">
              <w:rPr>
                <w:rFonts w:ascii="Arial" w:hAnsi="Arial"/>
              </w:rPr>
              <w:t>The California Frog-Jumping Contest</w:t>
            </w:r>
            <w:r w:rsidR="000903CE">
              <w:rPr>
                <w:rFonts w:ascii="Arial" w:hAnsi="Arial"/>
              </w:rPr>
              <w:t>, Jacob and Fosnot</w:t>
            </w:r>
          </w:p>
        </w:tc>
      </w:tr>
      <w:tr w:rsidR="00F30D21" w:rsidRPr="00A55BC8">
        <w:trPr>
          <w:trHeight w:val="1241"/>
        </w:trPr>
        <w:tc>
          <w:tcPr>
            <w:tcW w:w="13176" w:type="dxa"/>
          </w:tcPr>
          <w:p w:rsidR="00F30D21" w:rsidRPr="004F2474" w:rsidRDefault="00F30D21" w:rsidP="004F2474">
            <w:pPr>
              <w:rPr>
                <w:rFonts w:ascii="Arial" w:hAnsi="Arial"/>
              </w:rPr>
            </w:pPr>
            <w:r w:rsidRPr="00A55BC8">
              <w:rPr>
                <w:rFonts w:ascii="Arial" w:hAnsi="Arial"/>
              </w:rPr>
              <w:t>Lesson Objectives</w:t>
            </w:r>
            <w:r w:rsidR="00FE6F48">
              <w:rPr>
                <w:rFonts w:ascii="Arial" w:hAnsi="Arial"/>
              </w:rPr>
              <w:t xml:space="preserve">: </w:t>
            </w:r>
            <w:r w:rsidR="004F2474">
              <w:rPr>
                <w:rFonts w:ascii="Arial" w:hAnsi="Arial"/>
              </w:rPr>
              <w:t xml:space="preserve">Students will be able to use </w:t>
            </w:r>
            <w:r w:rsidR="004F2474">
              <w:rPr>
                <w:rFonts w:ascii="Arial" w:hAnsi="Arial"/>
                <w:i/>
              </w:rPr>
              <w:t>variables</w:t>
            </w:r>
            <w:r w:rsidR="004F2474">
              <w:rPr>
                <w:rFonts w:ascii="Arial" w:hAnsi="Arial"/>
              </w:rPr>
              <w:t xml:space="preserve"> on a number to solve problems by expanding on previous experience using unmarked number lines and labeling unknown jumps with a variable (j). </w:t>
            </w:r>
          </w:p>
        </w:tc>
      </w:tr>
      <w:tr w:rsidR="00F30D21" w:rsidRPr="00A55BC8">
        <w:trPr>
          <w:trHeight w:val="1061"/>
        </w:trPr>
        <w:tc>
          <w:tcPr>
            <w:tcW w:w="13176" w:type="dxa"/>
          </w:tcPr>
          <w:p w:rsidR="00F30D21" w:rsidRPr="00A55BC8" w:rsidRDefault="00DE3D2A" w:rsidP="00F30D21">
            <w:pPr>
              <w:rPr>
                <w:rFonts w:ascii="Arial" w:hAnsi="Arial"/>
              </w:rPr>
            </w:pPr>
            <w:r w:rsidRPr="00BD595B">
              <w:rPr>
                <w:rFonts w:ascii="Arial" w:hAnsi="Arial"/>
                <w:highlight w:val="yellow"/>
              </w:rPr>
              <w:t>Standards:</w:t>
            </w:r>
            <w:r>
              <w:rPr>
                <w:rFonts w:ascii="Arial" w:hAnsi="Arial"/>
              </w:rPr>
              <w:t xml:space="preserve"> </w:t>
            </w:r>
          </w:p>
        </w:tc>
      </w:tr>
      <w:tr w:rsidR="00F30D21" w:rsidRPr="00A55BC8">
        <w:trPr>
          <w:trHeight w:val="890"/>
        </w:trPr>
        <w:tc>
          <w:tcPr>
            <w:tcW w:w="13176" w:type="dxa"/>
          </w:tcPr>
          <w:p w:rsidR="00F30D21" w:rsidRPr="00A55BC8" w:rsidRDefault="00F30D21" w:rsidP="00F30D21">
            <w:pPr>
              <w:rPr>
                <w:rFonts w:ascii="Arial" w:hAnsi="Arial"/>
              </w:rPr>
            </w:pPr>
            <w:r w:rsidRPr="00BD595B">
              <w:rPr>
                <w:rFonts w:ascii="Arial" w:hAnsi="Arial"/>
                <w:highlight w:val="yellow"/>
              </w:rPr>
              <w:t>Multicultural Content:</w:t>
            </w:r>
            <w:r w:rsidRPr="00A55BC8">
              <w:rPr>
                <w:rFonts w:ascii="Arial" w:hAnsi="Arial"/>
              </w:rPr>
              <w:t xml:space="preserve">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BD595B">
            <w:pPr>
              <w:rPr>
                <w:rFonts w:ascii="Arial" w:hAnsi="Arial"/>
              </w:rPr>
            </w:pPr>
            <w:r w:rsidRPr="00A55BC8">
              <w:rPr>
                <w:rFonts w:ascii="Arial" w:hAnsi="Arial"/>
              </w:rPr>
              <w:t>Materials and Advanced Preparation</w:t>
            </w:r>
            <w:r w:rsidR="00FE6F48">
              <w:rPr>
                <w:rFonts w:ascii="Arial" w:hAnsi="Arial"/>
              </w:rPr>
              <w:t xml:space="preserve">: </w:t>
            </w:r>
            <w:r w:rsidR="001B5DE7">
              <w:rPr>
                <w:rFonts w:ascii="Arial" w:hAnsi="Arial"/>
              </w:rPr>
              <w:t>worksheets for the three competitions</w:t>
            </w:r>
          </w:p>
        </w:tc>
      </w:tr>
      <w:tr w:rsidR="00F30D21" w:rsidRPr="00A55BC8">
        <w:trPr>
          <w:trHeight w:val="1061"/>
        </w:trPr>
        <w:tc>
          <w:tcPr>
            <w:tcW w:w="13176" w:type="dxa"/>
          </w:tcPr>
          <w:p w:rsidR="00F30D21" w:rsidRPr="00A55BC8" w:rsidRDefault="00F30D21" w:rsidP="005467BC">
            <w:pPr>
              <w:rPr>
                <w:rFonts w:ascii="Arial" w:hAnsi="Arial"/>
              </w:rPr>
            </w:pPr>
            <w:r w:rsidRPr="00A55BC8">
              <w:rPr>
                <w:rFonts w:ascii="Arial" w:hAnsi="Arial"/>
              </w:rPr>
              <w:t>Prior Knowledge and Skills Needed:</w:t>
            </w:r>
            <w:r w:rsidR="00FE6F48">
              <w:rPr>
                <w:rFonts w:ascii="Arial" w:hAnsi="Arial"/>
              </w:rPr>
              <w:t xml:space="preserve"> </w:t>
            </w:r>
            <w:r w:rsidR="005467BC">
              <w:rPr>
                <w:rFonts w:ascii="Arial" w:hAnsi="Arial"/>
              </w:rPr>
              <w:t>unmarked number line</w:t>
            </w:r>
            <w:r w:rsidR="009122E5">
              <w:rPr>
                <w:rFonts w:ascii="Arial" w:hAnsi="Arial"/>
              </w:rPr>
              <w:t xml:space="preserve"> practice</w:t>
            </w:r>
            <w:r w:rsidR="00091343">
              <w:rPr>
                <w:rFonts w:ascii="Arial" w:hAnsi="Arial"/>
              </w:rPr>
              <w:t>, understanding of how variables work (ie represent an unknown quantity, remain contstant)</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 xml:space="preserve">: </w:t>
            </w:r>
            <w:r w:rsidR="009122E5">
              <w:rPr>
                <w:rFonts w:ascii="Arial" w:hAnsi="Arial"/>
              </w:rPr>
              <w:t>variable—a symbol or letter used by mathematicians to represent an unknown amount/quantity</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D740AE">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4D4611" w:rsidP="00C933D7">
            <w:pPr>
              <w:numPr>
                <w:ilvl w:val="0"/>
                <w:numId w:val="1"/>
              </w:numPr>
              <w:tabs>
                <w:tab w:val="num" w:pos="192"/>
                <w:tab w:val="num" w:pos="720"/>
              </w:tabs>
              <w:ind w:left="492"/>
              <w:rPr>
                <w:rFonts w:ascii="Arial" w:hAnsi="Arial" w:cs="Arial"/>
                <w:sz w:val="20"/>
              </w:rPr>
            </w:pPr>
            <w:r>
              <w:rPr>
                <w:rFonts w:ascii="Arial" w:hAnsi="Arial" w:cs="Arial"/>
                <w:sz w:val="20"/>
              </w:rPr>
              <w:t xml:space="preserve">Mathematicians, in previous lessons, we have </w:t>
            </w:r>
            <w:r w:rsidR="00BE5601">
              <w:rPr>
                <w:rFonts w:ascii="Arial" w:hAnsi="Arial" w:cs="Arial"/>
                <w:sz w:val="20"/>
              </w:rPr>
              <w:t xml:space="preserve">explored using an unmarked number line to represent jumps—even when we don’t know yet how big or small those jumps are. We have also used letters to represent these jumps (Reference original jumping buddies poster with j’s). Today, we are going to </w:t>
            </w:r>
            <w:r w:rsidR="004912B9">
              <w:rPr>
                <w:rFonts w:ascii="Arial" w:hAnsi="Arial" w:cs="Arial"/>
                <w:sz w:val="20"/>
              </w:rPr>
              <w:t>use variables—letters or symbols</w:t>
            </w:r>
            <w:r w:rsidR="005D7FF0">
              <w:rPr>
                <w:rFonts w:ascii="Arial" w:hAnsi="Arial" w:cs="Arial"/>
                <w:sz w:val="20"/>
              </w:rPr>
              <w:t xml:space="preserve"> mathematicians use to represent unknown quantities/values.</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D740AE" w:rsidRDefault="00D740AE" w:rsidP="00D740AE">
            <w:pPr>
              <w:pStyle w:val="ListParagraph"/>
              <w:numPr>
                <w:ilvl w:val="0"/>
                <w:numId w:val="1"/>
              </w:numPr>
              <w:rPr>
                <w:rFonts w:ascii="Arial" w:hAnsi="Arial" w:cs="Arial"/>
                <w:sz w:val="20"/>
              </w:rPr>
            </w:pPr>
            <w:r>
              <w:rPr>
                <w:rFonts w:ascii="Arial" w:hAnsi="Arial" w:cs="Arial"/>
                <w:sz w:val="20"/>
              </w:rPr>
              <w:t>Problem string:</w:t>
            </w:r>
            <w:r w:rsidR="00EF6F12">
              <w:rPr>
                <w:rFonts w:ascii="Arial" w:hAnsi="Arial" w:cs="Arial"/>
                <w:sz w:val="20"/>
              </w:rPr>
              <w:t xml:space="preserve"> (this could be a gr</w:t>
            </w:r>
            <w:r w:rsidR="00E2401F">
              <w:rPr>
                <w:rFonts w:ascii="Arial" w:hAnsi="Arial" w:cs="Arial"/>
                <w:sz w:val="20"/>
              </w:rPr>
              <w:t>eat one to do on the SmartBoard with kids following along in their own nbs</w:t>
            </w:r>
            <w:r w:rsidR="00EF6F12">
              <w:rPr>
                <w:rFonts w:ascii="Arial" w:hAnsi="Arial" w:cs="Arial"/>
                <w:sz w:val="20"/>
              </w:rPr>
              <w:t>)</w:t>
            </w:r>
          </w:p>
          <w:p w:rsidR="00D740AE" w:rsidRDefault="00D740AE" w:rsidP="00D740AE">
            <w:pPr>
              <w:pStyle w:val="ListParagraph"/>
              <w:numPr>
                <w:ilvl w:val="0"/>
                <w:numId w:val="1"/>
              </w:numPr>
              <w:rPr>
                <w:rFonts w:ascii="Arial" w:hAnsi="Arial" w:cs="Arial"/>
                <w:sz w:val="20"/>
              </w:rPr>
            </w:pPr>
            <w:r>
              <w:rPr>
                <w:rFonts w:ascii="Arial" w:hAnsi="Arial" w:cs="Arial"/>
                <w:sz w:val="20"/>
              </w:rPr>
              <w:t xml:space="preserve">Here is an unknown amount on a number line. I’ll call it j. </w:t>
            </w:r>
          </w:p>
          <w:p w:rsidR="00D740AE" w:rsidRDefault="00D740AE" w:rsidP="00D740AE">
            <w:pPr>
              <w:pStyle w:val="ListParagraph"/>
              <w:numPr>
                <w:ilvl w:val="0"/>
                <w:numId w:val="1"/>
              </w:numPr>
              <w:rPr>
                <w:rFonts w:ascii="Arial" w:hAnsi="Arial" w:cs="Arial"/>
                <w:sz w:val="20"/>
              </w:rPr>
            </w:pPr>
            <w:r>
              <w:rPr>
                <w:rFonts w:ascii="Arial" w:hAnsi="Arial" w:cs="Arial"/>
                <w:sz w:val="20"/>
              </w:rPr>
              <w:t>Where is 2 times j?</w:t>
            </w:r>
          </w:p>
          <w:p w:rsidR="00D740AE" w:rsidRDefault="00D740AE" w:rsidP="00D740AE">
            <w:pPr>
              <w:pStyle w:val="ListParagraph"/>
              <w:numPr>
                <w:ilvl w:val="0"/>
                <w:numId w:val="1"/>
              </w:numPr>
              <w:rPr>
                <w:rFonts w:ascii="Arial" w:hAnsi="Arial" w:cs="Arial"/>
                <w:sz w:val="20"/>
              </w:rPr>
            </w:pPr>
            <w:r>
              <w:rPr>
                <w:rFonts w:ascii="Arial" w:hAnsi="Arial" w:cs="Arial"/>
                <w:sz w:val="20"/>
              </w:rPr>
              <w:t>Where is 2 times these 2 js?</w:t>
            </w:r>
          </w:p>
          <w:p w:rsidR="00D740AE" w:rsidRDefault="00D740AE" w:rsidP="00D740AE">
            <w:pPr>
              <w:pStyle w:val="ListParagraph"/>
              <w:numPr>
                <w:ilvl w:val="0"/>
                <w:numId w:val="1"/>
              </w:numPr>
              <w:rPr>
                <w:rFonts w:ascii="Arial" w:hAnsi="Arial" w:cs="Arial"/>
                <w:sz w:val="20"/>
              </w:rPr>
            </w:pPr>
            <w:r>
              <w:rPr>
                <w:rFonts w:ascii="Arial" w:hAnsi="Arial" w:cs="Arial"/>
                <w:sz w:val="20"/>
              </w:rPr>
              <w:t>Where is 4 j + 6?</w:t>
            </w:r>
          </w:p>
          <w:p w:rsidR="00D740AE" w:rsidRDefault="00D740AE" w:rsidP="00D740AE">
            <w:pPr>
              <w:pStyle w:val="ListParagraph"/>
              <w:numPr>
                <w:ilvl w:val="0"/>
                <w:numId w:val="1"/>
              </w:numPr>
              <w:rPr>
                <w:rFonts w:ascii="Arial" w:hAnsi="Arial" w:cs="Arial"/>
                <w:sz w:val="20"/>
              </w:rPr>
            </w:pPr>
            <w:r>
              <w:rPr>
                <w:rFonts w:ascii="Arial" w:hAnsi="Arial" w:cs="Arial"/>
                <w:sz w:val="20"/>
              </w:rPr>
              <w:t>Where is 4j – 6?</w:t>
            </w:r>
          </w:p>
          <w:p w:rsidR="00D740AE" w:rsidRDefault="00D740AE" w:rsidP="00D740AE">
            <w:pPr>
              <w:pStyle w:val="ListParagraph"/>
              <w:numPr>
                <w:ilvl w:val="0"/>
                <w:numId w:val="1"/>
              </w:numPr>
              <w:rPr>
                <w:rFonts w:ascii="Arial" w:hAnsi="Arial" w:cs="Arial"/>
                <w:sz w:val="20"/>
              </w:rPr>
            </w:pPr>
            <w:r>
              <w:rPr>
                <w:rFonts w:ascii="Arial" w:hAnsi="Arial" w:cs="Arial"/>
                <w:sz w:val="20"/>
              </w:rPr>
              <w:t>Suppose I tell you that 4j-6 is the same as 2j. What now?</w:t>
            </w:r>
          </w:p>
          <w:p w:rsidR="00EF6F12" w:rsidRDefault="00D740AE" w:rsidP="00D740AE">
            <w:pPr>
              <w:pStyle w:val="ListParagraph"/>
              <w:numPr>
                <w:ilvl w:val="0"/>
                <w:numId w:val="1"/>
              </w:numPr>
              <w:rPr>
                <w:rFonts w:ascii="Arial" w:hAnsi="Arial" w:cs="Arial"/>
                <w:sz w:val="20"/>
              </w:rPr>
            </w:pPr>
            <w:r>
              <w:rPr>
                <w:rFonts w:ascii="Arial" w:hAnsi="Arial" w:cs="Arial"/>
                <w:sz w:val="20"/>
              </w:rPr>
              <w:t>How about 2j –</w:t>
            </w:r>
            <w:r w:rsidR="00EF6F12">
              <w:rPr>
                <w:rFonts w:ascii="Arial" w:hAnsi="Arial" w:cs="Arial"/>
                <w:sz w:val="20"/>
              </w:rPr>
              <w:t xml:space="preserve"> 3? Where is that? Why?</w:t>
            </w:r>
          </w:p>
          <w:p w:rsidR="00D740AE" w:rsidRDefault="00EF6F12" w:rsidP="00D740AE">
            <w:pPr>
              <w:pStyle w:val="ListParagraph"/>
              <w:numPr>
                <w:ilvl w:val="0"/>
                <w:numId w:val="1"/>
              </w:numPr>
              <w:rPr>
                <w:rFonts w:ascii="Arial" w:hAnsi="Arial" w:cs="Arial"/>
                <w:sz w:val="20"/>
              </w:rPr>
            </w:pPr>
            <w:r>
              <w:rPr>
                <w:rFonts w:ascii="Arial" w:hAnsi="Arial" w:cs="Arial"/>
                <w:sz w:val="20"/>
              </w:rPr>
              <w:t>What if I told you that 4j – 6 is the same as 3j. What now?</w:t>
            </w:r>
          </w:p>
          <w:p w:rsidR="00C933D7" w:rsidRPr="00D740AE" w:rsidRDefault="00EF6F12" w:rsidP="00D740AE">
            <w:pPr>
              <w:pStyle w:val="ListParagraph"/>
              <w:numPr>
                <w:ilvl w:val="0"/>
                <w:numId w:val="1"/>
              </w:numPr>
              <w:rPr>
                <w:rFonts w:ascii="Arial" w:hAnsi="Arial" w:cs="Arial"/>
                <w:sz w:val="20"/>
              </w:rPr>
            </w:pPr>
            <w:r>
              <w:rPr>
                <w:rFonts w:ascii="Arial" w:hAnsi="Arial" w:cs="Arial"/>
                <w:sz w:val="20"/>
              </w:rPr>
              <w:t>Where is 2j-3? Why?</w:t>
            </w:r>
          </w:p>
        </w:tc>
        <w:tc>
          <w:tcPr>
            <w:tcW w:w="3246" w:type="dxa"/>
          </w:tcPr>
          <w:p w:rsidR="00AB71D1" w:rsidRDefault="00AB71D1" w:rsidP="00D740AE">
            <w:pPr>
              <w:numPr>
                <w:ilvl w:val="0"/>
                <w:numId w:val="2"/>
              </w:numPr>
              <w:tabs>
                <w:tab w:val="num" w:pos="216"/>
                <w:tab w:val="left" w:pos="1280"/>
              </w:tabs>
              <w:ind w:left="242" w:hanging="180"/>
              <w:rPr>
                <w:rFonts w:ascii="Arial" w:hAnsi="Arial" w:cs="Arial"/>
                <w:sz w:val="20"/>
              </w:rPr>
            </w:pPr>
            <w:r>
              <w:rPr>
                <w:rFonts w:ascii="Arial" w:hAnsi="Arial" w:cs="Arial"/>
                <w:sz w:val="20"/>
              </w:rPr>
              <w:t>Some share up at board</w:t>
            </w:r>
          </w:p>
          <w:p w:rsidR="00C933D7" w:rsidRPr="000D09F4" w:rsidRDefault="00AB71D1" w:rsidP="00D740AE">
            <w:pPr>
              <w:numPr>
                <w:ilvl w:val="0"/>
                <w:numId w:val="2"/>
              </w:numPr>
              <w:tabs>
                <w:tab w:val="num" w:pos="216"/>
                <w:tab w:val="left" w:pos="1280"/>
              </w:tabs>
              <w:ind w:left="242" w:hanging="180"/>
              <w:rPr>
                <w:rFonts w:ascii="Arial" w:hAnsi="Arial" w:cs="Arial"/>
                <w:sz w:val="20"/>
              </w:rPr>
            </w:pPr>
            <w:r>
              <w:rPr>
                <w:rFonts w:ascii="Arial" w:hAnsi="Arial" w:cs="Arial"/>
                <w:sz w:val="20"/>
              </w:rPr>
              <w:t>All follow along in own notebook</w:t>
            </w:r>
          </w:p>
        </w:tc>
        <w:tc>
          <w:tcPr>
            <w:tcW w:w="3244" w:type="dxa"/>
          </w:tcPr>
          <w:p w:rsidR="00C933D7" w:rsidRPr="000D09F4" w:rsidRDefault="00AB71D1" w:rsidP="00D740AE">
            <w:pPr>
              <w:numPr>
                <w:ilvl w:val="0"/>
                <w:numId w:val="2"/>
              </w:numPr>
              <w:tabs>
                <w:tab w:val="num" w:pos="479"/>
                <w:tab w:val="left" w:pos="1280"/>
                <w:tab w:val="left" w:pos="1875"/>
              </w:tabs>
              <w:ind w:left="486"/>
              <w:rPr>
                <w:rFonts w:ascii="Arial" w:hAnsi="Arial" w:cs="Arial"/>
                <w:sz w:val="20"/>
              </w:rPr>
            </w:pPr>
            <w:r>
              <w:rPr>
                <w:rFonts w:ascii="Arial" w:hAnsi="Arial" w:cs="Arial"/>
                <w:sz w:val="20"/>
              </w:rPr>
              <w:t>Student responses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933D7" w:rsidRPr="000D09F4" w:rsidRDefault="00AB71D1" w:rsidP="00C933D7">
            <w:pPr>
              <w:tabs>
                <w:tab w:val="num" w:pos="300"/>
              </w:tabs>
              <w:rPr>
                <w:rFonts w:ascii="Arial" w:hAnsi="Arial" w:cs="Arial"/>
                <w:sz w:val="20"/>
              </w:rPr>
            </w:pPr>
            <w:r>
              <w:rPr>
                <w:rFonts w:ascii="Arial" w:hAnsi="Arial" w:cs="Arial"/>
                <w:sz w:val="20"/>
              </w:rPr>
              <w:t>in problem string</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Planning their day’s work</w:t>
            </w:r>
          </w:p>
        </w:tc>
        <w:tc>
          <w:tcPr>
            <w:tcW w:w="3244" w:type="dxa"/>
          </w:tcPr>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assess students’ understanding of the teaching?</w:t>
            </w:r>
          </w:p>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give feedback?</w:t>
            </w:r>
          </w:p>
        </w:tc>
      </w:tr>
      <w:tr w:rsidR="00D375D7" w:rsidRPr="00A55BC8">
        <w:tc>
          <w:tcPr>
            <w:tcW w:w="13176" w:type="dxa"/>
            <w:gridSpan w:val="4"/>
          </w:tcPr>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0359D4" w:rsidRDefault="000359D4" w:rsidP="00C933D7">
            <w:pPr>
              <w:numPr>
                <w:ilvl w:val="0"/>
                <w:numId w:val="5"/>
              </w:numPr>
              <w:tabs>
                <w:tab w:val="clear" w:pos="720"/>
                <w:tab w:val="num" w:pos="400"/>
              </w:tabs>
              <w:ind w:left="300" w:hanging="200"/>
              <w:rPr>
                <w:rFonts w:ascii="Arial" w:hAnsi="Arial" w:cs="Arial"/>
                <w:sz w:val="20"/>
              </w:rPr>
            </w:pPr>
            <w:r>
              <w:rPr>
                <w:rFonts w:ascii="Arial" w:hAnsi="Arial" w:cs="Arial"/>
                <w:sz w:val="20"/>
              </w:rPr>
              <w:t>This level of abstraction could be challenging for some students</w:t>
            </w:r>
          </w:p>
          <w:p w:rsidR="00C933D7" w:rsidRPr="00A718AB" w:rsidRDefault="000359D4" w:rsidP="00A718AB">
            <w:pPr>
              <w:numPr>
                <w:ilvl w:val="0"/>
                <w:numId w:val="5"/>
              </w:numPr>
              <w:tabs>
                <w:tab w:val="clear" w:pos="720"/>
                <w:tab w:val="num" w:pos="400"/>
              </w:tabs>
              <w:ind w:left="300" w:hanging="200"/>
              <w:rPr>
                <w:rFonts w:ascii="Arial" w:hAnsi="Arial" w:cs="Arial"/>
                <w:sz w:val="20"/>
              </w:rPr>
            </w:pPr>
            <w:r>
              <w:rPr>
                <w:rFonts w:ascii="Arial" w:hAnsi="Arial" w:cs="Arial"/>
                <w:sz w:val="20"/>
              </w:rPr>
              <w:t>Lean into previous encounters with this idea—from jumping buddies</w:t>
            </w:r>
          </w:p>
          <w:p w:rsidR="00D375D7" w:rsidRPr="00A55BC8" w:rsidRDefault="00D375D7" w:rsidP="00A36C8A">
            <w:pPr>
              <w:rPr>
                <w:rFonts w:ascii="Arial" w:hAnsi="Arial"/>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B947FF" w:rsidRDefault="008A646A" w:rsidP="008A646A">
            <w:pPr>
              <w:pStyle w:val="ListParagraph"/>
              <w:numPr>
                <w:ilvl w:val="0"/>
                <w:numId w:val="12"/>
              </w:numPr>
              <w:rPr>
                <w:rFonts w:ascii="Arial" w:hAnsi="Arial" w:cs="Arial"/>
                <w:sz w:val="20"/>
              </w:rPr>
            </w:pPr>
            <w:r w:rsidRPr="008A646A">
              <w:rPr>
                <w:rFonts w:ascii="Arial" w:hAnsi="Arial" w:cs="Arial"/>
                <w:sz w:val="20"/>
              </w:rPr>
              <w:t>Mathematicians, today you are going to continue your work as frog j</w:t>
            </w:r>
            <w:r>
              <w:rPr>
                <w:rFonts w:ascii="Arial" w:hAnsi="Arial" w:cs="Arial"/>
                <w:sz w:val="20"/>
              </w:rPr>
              <w:t xml:space="preserve">umping referees. You will find the winners of the frog jumping Olympics events. </w:t>
            </w:r>
          </w:p>
          <w:p w:rsidR="00C933D7" w:rsidRPr="008A646A" w:rsidRDefault="00B57AFF" w:rsidP="008A646A">
            <w:pPr>
              <w:pStyle w:val="ListParagraph"/>
              <w:numPr>
                <w:ilvl w:val="0"/>
                <w:numId w:val="12"/>
              </w:numPr>
              <w:rPr>
                <w:rFonts w:ascii="Arial" w:hAnsi="Arial" w:cs="Arial"/>
                <w:sz w:val="20"/>
              </w:rPr>
            </w:pPr>
            <w:r>
              <w:rPr>
                <w:rFonts w:ascii="Arial" w:hAnsi="Arial" w:cs="Arial"/>
                <w:sz w:val="20"/>
              </w:rPr>
              <w:t xml:space="preserve">(All students </w:t>
            </w:r>
            <w:r w:rsidR="007E16C6">
              <w:rPr>
                <w:rFonts w:ascii="Arial" w:hAnsi="Arial" w:cs="Arial"/>
                <w:sz w:val="20"/>
              </w:rPr>
              <w:t>can start with the Pair problem, if completed, move on to next problems)</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D531FB" w:rsidP="00C933D7">
            <w:pPr>
              <w:numPr>
                <w:ilvl w:val="0"/>
                <w:numId w:val="8"/>
              </w:numPr>
              <w:tabs>
                <w:tab w:val="num" w:pos="292"/>
              </w:tabs>
              <w:ind w:left="292" w:hanging="292"/>
              <w:rPr>
                <w:rFonts w:ascii="Arial" w:hAnsi="Arial" w:cs="Arial"/>
                <w:sz w:val="20"/>
              </w:rPr>
            </w:pPr>
            <w:r>
              <w:rPr>
                <w:rFonts w:ascii="Arial" w:hAnsi="Arial" w:cs="Arial"/>
                <w:sz w:val="20"/>
              </w:rPr>
              <w:t>All students should employ the number line with variables strategy</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D531FB" w:rsidP="00C933D7">
            <w:pPr>
              <w:numPr>
                <w:ilvl w:val="0"/>
                <w:numId w:val="8"/>
              </w:numPr>
              <w:tabs>
                <w:tab w:val="num" w:pos="292"/>
              </w:tabs>
              <w:ind w:left="292" w:hanging="292"/>
              <w:rPr>
                <w:rFonts w:ascii="Arial" w:hAnsi="Arial" w:cs="Arial"/>
                <w:sz w:val="20"/>
              </w:rPr>
            </w:pPr>
            <w:r>
              <w:rPr>
                <w:rFonts w:ascii="Arial" w:hAnsi="Arial" w:cs="Arial"/>
                <w:sz w:val="20"/>
              </w:rPr>
              <w:t>Confer with students, make sure they are using today’s strategy</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D531FB" w:rsidP="00C933D7">
            <w:pPr>
              <w:rPr>
                <w:rFonts w:ascii="Arial" w:hAnsi="Arial" w:cs="Arial"/>
                <w:sz w:val="20"/>
              </w:rPr>
            </w:pPr>
            <w:r>
              <w:rPr>
                <w:rFonts w:ascii="Arial" w:hAnsi="Arial" w:cs="Arial"/>
                <w:sz w:val="20"/>
              </w:rPr>
              <w:t>Process students—where are students? How are they applying the idea of variables?</w:t>
            </w:r>
          </w:p>
        </w:tc>
        <w:tc>
          <w:tcPr>
            <w:tcW w:w="3246" w:type="dxa"/>
          </w:tcPr>
          <w:p w:rsidR="00C933D7" w:rsidRPr="000D09F4" w:rsidRDefault="008B7B98" w:rsidP="00C933D7">
            <w:pPr>
              <w:numPr>
                <w:ilvl w:val="0"/>
                <w:numId w:val="8"/>
              </w:numPr>
              <w:tabs>
                <w:tab w:val="num" w:pos="292"/>
              </w:tabs>
              <w:ind w:left="292" w:hanging="292"/>
              <w:rPr>
                <w:rFonts w:ascii="Arial" w:hAnsi="Arial" w:cs="Arial"/>
                <w:sz w:val="20"/>
              </w:rPr>
            </w:pPr>
            <w:r>
              <w:rPr>
                <w:rFonts w:ascii="Arial" w:hAnsi="Arial" w:cs="Arial"/>
                <w:sz w:val="20"/>
              </w:rPr>
              <w:t>Share work examples</w:t>
            </w:r>
          </w:p>
        </w:tc>
        <w:tc>
          <w:tcPr>
            <w:tcW w:w="3244" w:type="dxa"/>
          </w:tcPr>
          <w:p w:rsidR="00C933D7" w:rsidRPr="000D09F4" w:rsidRDefault="008B7B98" w:rsidP="00C933D7">
            <w:pPr>
              <w:numPr>
                <w:ilvl w:val="0"/>
                <w:numId w:val="8"/>
              </w:numPr>
              <w:tabs>
                <w:tab w:val="num" w:pos="292"/>
              </w:tabs>
              <w:ind w:left="292" w:hanging="292"/>
              <w:rPr>
                <w:rFonts w:ascii="Arial" w:hAnsi="Arial" w:cs="Arial"/>
                <w:sz w:val="20"/>
              </w:rPr>
            </w:pPr>
            <w:r>
              <w:rPr>
                <w:rFonts w:ascii="Arial" w:hAnsi="Arial" w:cs="Arial"/>
                <w:sz w:val="20"/>
              </w:rPr>
              <w:t>Reiterate how variables work/why mathemeaticians use them</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A55BC8" w:rsidRPr="008B7B98" w:rsidRDefault="008B7B98" w:rsidP="008B7B98">
            <w:pPr>
              <w:pStyle w:val="ListParagraph"/>
              <w:numPr>
                <w:ilvl w:val="0"/>
                <w:numId w:val="8"/>
              </w:numPr>
              <w:ind w:left="292" w:hanging="292"/>
              <w:rPr>
                <w:rFonts w:ascii="Arial" w:hAnsi="Arial"/>
                <w:sz w:val="20"/>
              </w:rPr>
            </w:pPr>
            <w:r w:rsidRPr="008B7B98">
              <w:rPr>
                <w:rFonts w:ascii="Arial" w:hAnsi="Arial"/>
                <w:sz w:val="20"/>
              </w:rPr>
              <w:t>Stronger</w:t>
            </w:r>
            <w:r>
              <w:rPr>
                <w:rFonts w:ascii="Arial" w:hAnsi="Arial"/>
                <w:sz w:val="20"/>
              </w:rPr>
              <w:t xml:space="preserve"> students will have an easier time using variables </w:t>
            </w:r>
            <w:r>
              <w:rPr>
                <w:rFonts w:ascii="Arial" w:hAnsi="Arial"/>
                <w:i/>
                <w:sz w:val="20"/>
              </w:rPr>
              <w:t xml:space="preserve">and </w:t>
            </w:r>
            <w:r>
              <w:rPr>
                <w:rFonts w:ascii="Arial" w:hAnsi="Arial"/>
                <w:sz w:val="20"/>
              </w:rPr>
              <w:t>understanding how to move between the number line and expressions that include variables—check in with that transition</w:t>
            </w:r>
            <w:r w:rsidR="00AD2F43">
              <w:rPr>
                <w:rFonts w:ascii="Arial" w:hAnsi="Arial"/>
                <w:sz w:val="20"/>
              </w:rPr>
              <w:t xml:space="preserve"> during workshop. </w:t>
            </w:r>
            <w:r>
              <w:rPr>
                <w:rFonts w:ascii="Arial" w:hAnsi="Arial"/>
                <w:sz w:val="20"/>
              </w:rPr>
              <w:t xml:space="preserve"> </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50C9"/>
    <w:multiLevelType w:val="hybridMultilevel"/>
    <w:tmpl w:val="DE18BF9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2C41654E"/>
    <w:multiLevelType w:val="hybridMultilevel"/>
    <w:tmpl w:val="0FB8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04CDA"/>
    <w:rsid w:val="000359D4"/>
    <w:rsid w:val="00073C77"/>
    <w:rsid w:val="000903CE"/>
    <w:rsid w:val="00091343"/>
    <w:rsid w:val="000A75B6"/>
    <w:rsid w:val="000D782A"/>
    <w:rsid w:val="0010027F"/>
    <w:rsid w:val="00173612"/>
    <w:rsid w:val="001907D5"/>
    <w:rsid w:val="001B5DE7"/>
    <w:rsid w:val="001E11B2"/>
    <w:rsid w:val="002648F7"/>
    <w:rsid w:val="002843A8"/>
    <w:rsid w:val="002C120F"/>
    <w:rsid w:val="004114C3"/>
    <w:rsid w:val="00417D35"/>
    <w:rsid w:val="00472B7F"/>
    <w:rsid w:val="004912B9"/>
    <w:rsid w:val="004A7038"/>
    <w:rsid w:val="004D35D0"/>
    <w:rsid w:val="004D4611"/>
    <w:rsid w:val="004F2474"/>
    <w:rsid w:val="005467BC"/>
    <w:rsid w:val="005D7FF0"/>
    <w:rsid w:val="00646798"/>
    <w:rsid w:val="00655630"/>
    <w:rsid w:val="00745FBD"/>
    <w:rsid w:val="007B2A1F"/>
    <w:rsid w:val="007E16C6"/>
    <w:rsid w:val="008900F1"/>
    <w:rsid w:val="008A0735"/>
    <w:rsid w:val="008A646A"/>
    <w:rsid w:val="008B7B98"/>
    <w:rsid w:val="009122E5"/>
    <w:rsid w:val="009B48C4"/>
    <w:rsid w:val="00A36C8A"/>
    <w:rsid w:val="00A55BC8"/>
    <w:rsid w:val="00A66DEC"/>
    <w:rsid w:val="00A718AB"/>
    <w:rsid w:val="00AA4764"/>
    <w:rsid w:val="00AB71D1"/>
    <w:rsid w:val="00AD2F43"/>
    <w:rsid w:val="00B5077B"/>
    <w:rsid w:val="00B57AFF"/>
    <w:rsid w:val="00B8571D"/>
    <w:rsid w:val="00B947FF"/>
    <w:rsid w:val="00BD595B"/>
    <w:rsid w:val="00BE5601"/>
    <w:rsid w:val="00BF7C3D"/>
    <w:rsid w:val="00C933D7"/>
    <w:rsid w:val="00D375D7"/>
    <w:rsid w:val="00D4722A"/>
    <w:rsid w:val="00D531FB"/>
    <w:rsid w:val="00D740AE"/>
    <w:rsid w:val="00DE3D2A"/>
    <w:rsid w:val="00DF5857"/>
    <w:rsid w:val="00E2401F"/>
    <w:rsid w:val="00E860F8"/>
    <w:rsid w:val="00EF6F12"/>
    <w:rsid w:val="00F07481"/>
    <w:rsid w:val="00F30D21"/>
    <w:rsid w:val="00FA7765"/>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2658</Characters>
  <Application>Microsoft Macintosh Word</Application>
  <DocSecurity>0</DocSecurity>
  <Lines>22</Lines>
  <Paragraphs>5</Paragraphs>
  <ScaleCrop>false</ScaleCrop>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cp:revision>
  <dcterms:created xsi:type="dcterms:W3CDTF">2012-03-04T20:15:00Z</dcterms:created>
  <dcterms:modified xsi:type="dcterms:W3CDTF">2012-03-04T20:15:00Z</dcterms:modified>
</cp:coreProperties>
</file>